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750" w:lineRule="atLeast"/>
        <w:ind w:left="720" w:right="0" w:hanging="360"/>
        <w:jc w:val="center"/>
        <w:rPr>
          <w:rFonts w:ascii="微软雅黑" w:hAnsi="微软雅黑" w:eastAsia="微软雅黑" w:cs="微软雅黑"/>
          <w:color w:val="333333"/>
          <w:sz w:val="42"/>
          <w:szCs w:val="42"/>
        </w:rPr>
      </w:pPr>
      <w:r>
        <w:rPr>
          <w:rFonts w:hint="default" w:ascii="微软雅黑" w:hAnsi="微软雅黑" w:eastAsia="微软雅黑" w:cs="微软雅黑"/>
          <w:color w:val="333333"/>
          <w:sz w:val="42"/>
          <w:szCs w:val="42"/>
          <w:bdr w:val="none" w:color="auto" w:sz="0" w:space="0"/>
          <w:shd w:val="clear" w:fill="FFFFFF"/>
        </w:rPr>
        <w:t>营业税改征增值税试点过渡政策的规定</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2882"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left"/>
      </w:pPr>
      <w:r>
        <w:rPr>
          <w:rFonts w:hint="eastAsia" w:ascii="宋体" w:hAnsi="宋体" w:eastAsia="宋体" w:cs="宋体"/>
          <w:color w:val="333333"/>
          <w:sz w:val="24"/>
          <w:szCs w:val="24"/>
          <w:shd w:val="clear" w:fill="FFFFFF"/>
        </w:rPr>
        <w:t>一、下列项目免征增值税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（一）托儿所、幼儿园提供的保育和教育服务。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托儿所、幼儿园，是指经县级以上教育部门审批成立、取得办园许可证的实施0-6岁学前教育的机构，包括公办和民办的托儿所、幼儿园、学前班、幼儿班、保育院、幼儿院。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公办托儿所、幼儿园免征增值税的收入是指，在省级财政部门和价格主管部门审核报省级人民政府批准的收费标准以内收取的教育费、保育费。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民办托儿所、幼儿园免征增值税的收入是指，在报经当地有关部门备案并公示的收费标准范围内收取的教育费、保育费。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超过规定收费标准的收费，以开办实验班、特色班和兴趣班等为由另外收取的费用以及与幼儿入园挂钩的赞助费、支教费等超过规定范围的收入，不属于免征增值税的收入。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（二）养老机构提供的养老服务。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养老机构，是指依照民政部《养老机构设立许可办法》（民政部令第48号）设立并依法办理登记的为老年人提供集中居住和照料服务的各类养老机构；养老服务，是指上述养老机构按照民政部《养老机构管理办法》（民政部令第49号）的规定，为收住的老年人提供的生活照料、康复护理、精神慰藉、文化娱乐等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（三）残疾人福利机构提供的育养服务。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（四）婚姻介绍服务。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（五）殡葬服务。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殡葬服务，是指收费标准由各地价格主管部门会同有关部门核定，或者实行政府指导价管理的遗体接运（含抬尸、消毒）、遗体整容、遗体防腐、存放（含冷藏）、火化、骨灰寄存、吊唁设施设备租赁、墓穴租赁及管理等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（六）残疾人员本人为社会提供的服务。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（七）医疗机构提供的医疗服务。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医疗机构，是指依据国务院《医疗机构管理条例》（国务院令第149号）及卫生部《医疗机构管理条例实施细则》（卫生部令第35号）的规定，经登记取得《医疗机构执业许可证》的机构，以及军队、武警部队各级各类医疗机构。具体包括:各级各类医院、门诊部(所)、社区卫生服务中心(站)、急救中心(站)、城乡卫生院、护理院(所)、疗养院、临床检验中心，各级政府及有关部门举办的卫生防疫站(疾病控制中心)、各种专科疾病防治站(所)，各级政府举办的妇幼保健所(站)、母婴保健机构、儿童保健机构，各级政府举办的血站(血液中心)等医疗机构。</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2882"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left"/>
      </w:pPr>
      <w:r>
        <w:rPr>
          <w:rFonts w:hint="eastAsia" w:ascii="宋体" w:hAnsi="宋体" w:eastAsia="宋体" w:cs="宋体"/>
          <w:color w:val="333333"/>
          <w:sz w:val="24"/>
          <w:szCs w:val="24"/>
          <w:shd w:val="clear" w:fill="FFFFFF"/>
        </w:rPr>
        <w:t>　　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（八）从事学历教育的学校提供的教育服务。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1.学历教育，是指受教育者经过国家教育考试或者国家规定的其他入学方式，进入国家有关部门批准的学校或者其他教育机构学习，获得国家承认的学历证书的教育形式。具体包括：</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（1）初等教育：普通小学、成人小学。</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（2）初级中等教育：普通初中、职业初中、成人初中。</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（3）高级中等教育：普通高中、成人高中和中等职业学校（包括普通中专、成人中专、职业高中、技工学校）。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（4）高等教育：普通本专科、成人本专科、网络本专科、研究生（博士、硕士）、高等教育自学考试、高等教育学历文凭考试。</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2.从事学历教育的学校，是指：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（1）普通学校。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（2）经地(市)级以上人民政府或者同级政府的教育行政部门批准成立、国家承认其学员学历的各类学校。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（3）经省级及以上人力资源社会保障行政部门批准成立的技工学校、高级技工学校。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（4）经省级人民政府批准成立的技师学院。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上述学校均包括符合规定的从事学历教育的民办学校，但不包括职业培训机构等国家不承认学历的教育机构。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择校费等，不属于免征增值税的范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学校食堂是指依照《学校食堂与学生集体用餐卫生管理规定》（教育部令第14号）管理的学校食堂。</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（九）学生勤工俭学提供的服务。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（十）农业机耕、排灌、病虫害防治、植物保护、农牧保险以及相关技术培训业务，家禽、牲畜、水生动物的配种和疾病防治。</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农业机耕，是指在农业、林业、牧业中使用农业机械进行耕作(包括耕耘、种植、收割、脱粒、植物保护等)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（十一）纪念馆、博物馆、文化馆、文物保护单位管理机构、美术馆、展览馆、书画院、图书馆在自己的场所提供文化体育服务取得的第一道门票收入。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（十二）寺院、宫观、清真寺和教堂举办文化、宗教活动的门票收入。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（十三）行政单位之外的其他单位收取的符合《试点实施办法》第十条规定条件的政府性基金和行政事业性收费。</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（十四）个人转让著作权。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（十五）个人销售自建自用住房。</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（十六）2018年12月31日前，公共租赁住房经营管理单位出租公共租赁住房。</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公共租赁住房，是指纳入省、自治区、直辖市、计划单列市人民政府及新疆生产建设兵团批准的公共租赁住房发展规划和年度计划，并按照《关于加快发展公共租赁住房的指导意见》（建保〔2010〕87号）和市、县人民政府制定的具体管理办法进行管理的公共租赁住房。</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（十七）台湾航运公司、航空公司从事海峡两岸海上直航、空中直航业务在大陆取得的运输收入。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台湾航运公司，是指取得交通运输部颁发的“台湾海峡两岸间水路运输许可证”且该许可证上注明的公司登记地址在台湾的航运公司。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台湾航空公司，是指取得中国民用航空局颁发的“经营许可”或者依据《海峡两岸空运协议》和《海峡两岸空运补充协议》规定，批准经营两岸旅客、货物和邮件不定期（包机）运输业务，且公司登记地址在台湾的航空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（十八）纳税人提供的直接或者间接国际货物运输代理服务。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1.纳税人提供直接或者间接国际货物运输代理服务，向委托方收取的全部国际货物运输代理服务收入，以及向国际运输承运人支付的国际运输费用，必须通过金融机构进行结算。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2.纳税人为大陆与香港、澳门、台湾地区之间的货物运输提供的货物运输代理服务参照国际货物运输代理服务有关规定执行。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3.委托方索取发票的，纳税人应当就国际货物运输代理服务收入向委托方全额开具增值税普通发票。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（十九）以下利息收入。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1.2016年12月31日前，金融机构农户小额贷款。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小额贷款，是指单笔且该农户贷款余额总额在10万元（含本数）以下的贷款。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2.国家助学贷款。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3.国债、地方政府债。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4.人民银行对金融机构的贷款。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5.住房公积金管理中心用住房公积金在指定的委托银行发放的个人住房贷款。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6.外汇管理部门在从事国家外汇储备经营过程中,委托金融机构发放的外汇贷款。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7.统借统还业务中，企业集团或企业集团中的核心企业以及集团所属财务公司按不高于支付给金融机构的借款利率水平或者支付的债券票面利率水平，向企业集团或者集团内下属单位收取的利息。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统借方向资金使用单位收取的利息，高于支付给金融机构借款利率水平或者支付的债券票面利率水平的，应全额缴纳增值税。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统借统还业务，是指：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（二十）被撤销金融机构以货物、不动产、无形资产、有价证券、票据等财产清偿债务。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（二十一）保险公司开办的一年期以上人身保险产品取得的保费收入。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一年期以上人身保险，是指保险期间为一年期及以上返还本利的人寿保险、养老年金保险，以及保险期间为一年期及以上的健康保险。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人寿保险，是指以人的寿命为保险标的的人身保险。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养老年金保险，是指以养老保障为目的，以被保险人生存为给付保险金条件，并按约定的时间间隔分期给付生存保险金的人身保险。养老年金保险应当同时符合下列条件：</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1.保险合同约定给付被保险人生存保险金的年龄不得小于国家规定的退休年龄。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2.相邻两次给付的时间间隔不得超过一年。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健康保险，是指以因健康原因导致损失为给付保险金条件的人身保险。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上述免税政策实行备案管理，具体备案管理办法按照《国家税务总局关于一年期以上返还性人身保险产品免征营业税审批事项取消后有关管理问题的公告》（国家税务总局公告2015年第65号）规定执行。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（二十二）下列金融商品转让收入。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1.合格境外投资者（QFII）委托境内公司在我国从事证券买卖业务。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2.香港市场投资者（包括单位和个人）通过沪港通买卖上海证券交易所上市A股。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3.对香港市场投资者（包括单位和个人）通过基金互认买卖内地基金份额。</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4.证券投资基金（封闭式证券投资基金，开放式证券投资基金）管理人运用基金买卖股票、债券。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5.个人从事金融商品转让业务。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（二十三）金融同业往来利息收入。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1.金融机构与人民银行所发生的资金往来业务。包括人民银行对一般金融机构贷款，以及人民银行对商业银行的再贴现等。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2.银行联行往来业务。同一银行系统内部不同行、处之间所发生的资金账务往来业务。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3.金融机构间的资金往来业务。是指经人民银行批准，进入全国银行间同业拆借市场的金融机构之间通过全国统一的同业拆借网络进行的短期(一年以下含一年)无担保资金融通行为。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4.金融机构之间开展的转贴现业务。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金融机构是指：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（1）银行：包括人民银行、商业银行、政策性银行。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（2）信用合作社。</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（3）证券公司。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（4）金融租赁公司、证券基金管理公司、财务公司、信托投资公司、证券投资基金。</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（5）保险公司。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（6）其他经人民银行、银监会、证监会、保监会批准成立且经营金融保险业务的机构等。</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（二十四）同时符合下列条件的担保机构从事中小企业信用担保或者再担保业务取得的收入(不含信用评级、咨询、培训等收入)3年内免征增值税：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1.已取得监管部门颁发的融资性担保机构经营许可证，依法登记注册为企(事)业法人，实收资本超过2000万元。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2.平均年担保费率不超过银行同期贷款基准利率的50%。平均年担保费率=本期担保费收入/(期初担保余额+本期增加担保金额)×100%。</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3.连续合规经营2年以上，资金主要用于担保业务，具备健全的内部管理制度和为中小企业提供担保的能力，经营业绩突出，对受保项目具有完善的事前评估、事中监控、事后追偿与处置机制。</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4.为中小企业提供的累计担保贷款额占其两年累计担保业务总额的80%以上，单笔800万元以下的累计担保贷款额占其累计担保业务总额的50%以上。</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5.对单个受保企业提供的担保余额不超过担保机构实收资本总额的10%，且平均单笔担保责任金额最多不超过3000万元人民币。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6.担保责任余额不低于其净资产的3倍，且代偿率不超过2%。</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担保机构免征增值税政策采取备案管理方式。符合条件的担保机构应到所在地县(市)主管税务机关和同级中小企业管理部门履行规定的备案手续，自完成备案手续之日起，享受3年免征增值税政策。3年免税期满后，符合条件的担保机构可按规定程序办理备案手续后继续享受该项政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具体备案管理办法按照《国家税务总局关于中小企业信用担保机构免征营业税审批事项取消后有关管理问题的公告》（国家税务总局公告2015年第69号）规定执行，其中税务机关的备案管理部门统一调整为县（市）级国家税务局。</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（二十五）国家商品储备管理单位及其直属企业承担商品储备任务，从中央或者地方财政取得的利息补贴收入和价差补贴收入。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国家商品储备管理单位及其直属企业，是指接受中央、省、市、县四级政府有关部门(或者政府指定管理单位)委托，承担粮(含大豆)、食用油、棉、糖、肉、盐(限于中央储备)等6种商品储备任务，并按有关政策收储、销售上述6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（二十六）纳税人提供技术转让、技术开发和与之相关的技术咨询、技术服务。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技术转让、技术开发，是指《销售服务、无形资产、不动产注释》中“转让技术”、“研发服务”范围内的业务活动。技术咨询，是指就特定技术项目提供可行性论证、技术预测、专题技术调查、分析评价报告等业务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2.备案程序。试点纳税人申请免征增值税时，须持技术转让、开发的书面合同，到纳税人所在地省级科技主管部门进行认定，并持有关的书面合同和科技主管部门审核意见证明文件报主管税务机关备查。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（二十七）同时符合下列条件的合同能源管理服务：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1.节能服务公司实施合同能源管理项目相关技术，应当符合国家质量监督检验检疫总局和国家标准化管理委员会发布的《合同能源管理技术通则》（GB/T24915-2010）规定的技术要求。</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2.节能服务公司与用能企业签订节能效益分享型合同，其合同格式和内容，符合《中华人民共和国合同法》和《合同能源管理技术通则》（GB/T24915-2010）等规定。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（二十八）2017年12月31日前，科普单位的门票收入，以及县级及以上党政部门和科协开展科普活动的门票收入。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科普单位，是指科技馆、自然博物馆，对公众开放的天文馆（站、台)、气象台（站)、地震台(站)，以及高等院校、科研机构对公众开放的科普基地。</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科普活动，是指利用各种传媒以浅显的、让公众易于理解、接受和参与的方式，向普通大众介绍自然科学和社会科学知识，推广科学技术的应用，倡导科学方法，传播科学思想，弘扬科学精神的活动。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（二十九）政府举办的从事学历教育的高等、中等和初等学校（不含下属单位），举办进修班、培训班取得的全部归该学校所有的收入。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全部归该学校所有，是指举办进修班、培训班取得的全部收入进入该学校统一账户，并纳入预算全额上缴财政专户管理，同时由该学校对有关票据进行统一管理和开具。</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举办进修班、培训班取得的收入进入该学校下属部门自行开设账户的，不予免征增值税。</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2882"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left"/>
      </w:pPr>
      <w:r>
        <w:rPr>
          <w:rFonts w:hint="eastAsia" w:ascii="宋体" w:hAnsi="宋体" w:eastAsia="宋体" w:cs="宋体"/>
          <w:color w:val="333333"/>
          <w:sz w:val="24"/>
          <w:szCs w:val="24"/>
          <w:shd w:val="clear" w:fill="FFFFFF"/>
        </w:rPr>
        <w:t>　　（三十）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（三十一）家政服务企业由员工制家政服务员提供家政服务取得的收入。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家政服务企业，是指在企业营业执照的规定经营范围中包括家政服务内容的企业。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员工制家政服务员，是指同时符合下列3个条件的家政服务员：</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1.依法与家政服务企业签订半年及半年以上的劳动合同或者服务协议，且在该企业实际上岗工作。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家政服务企业为其按月足额缴纳了企业所在地人民政府根据国家政策规定的基本养老保险、基本医疗保险、工伤保险、失业保险等社会保险。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3.家政服务企业通过金融机构向其实际支付不低于企业所在地适用的经省级人民政府批准的最低工资标准的工资。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（三十二）福利彩票、体育彩票的发行收入。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（三十三）军队空余房产租赁收入。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（三十四）为了配合国家住房制度改革，企业、行政事业单位按房改成本价、标准价出售住房取得的收入。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（三十五）将土地使用权转让给农业生产者用于农业生产。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（三十六）涉及家庭财产分割的个人无偿转让不动产、土地使用权。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家庭财产分割，包括下列情形：离婚财产分割；无偿赠与配偶、父母、子女、祖父母、外祖父母、孙子女、外孙子女、兄弟姐妹；无偿赠与对其承担直接抚养或者赡养义务的抚养人或者赡养人；房屋产权所有人死亡，法定继承人、遗嘱继承人或者受遗赠人依法取得房屋产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（三十七）土地所有者出让土地使用权和土地使用者将土地使用权归还给土地所有者。</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（三十八）县级以上地方人民政府或自然资源行政主管部门出让、转让或收回自然资源使用权（不含土地使用权）。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（三十九）随军家属就业。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1.为安置随军家属就业而新开办的企业，自领取税务登记证之日起，其提供的应税服务3年内免征增值税。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享受税收优惠政策的企业，随军家属必须占企业总人数的60%（含）以上，并有军（含）以上政治和后勤机关出具的证明。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2.从事个体经营的随军家属，自办理税务登记事项之日起，其提供的应税服务3年内免征增值税。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随军家属必须有师以上政治机关出具的可以表明其身份的证明。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按照上述规定，每一名随军家属可以享受一次免税政策。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（四十）军队转业干部就业。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1.从事个体经营的军队转业干部，自领取税务登记证之日起，其提供的应税服务3年内免征增值税。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2.为安置自主择业的军队转业干部就业而新开办的企业，凡安置自主择业的军队转业干部占企业总人数60%（含）以上的，自领取税务登记证之日起，其提供的应税服务3年内免征增值税。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享受上述优惠政策的自主择业的军队转业干部必须持有师以上部队颁发的转业证件。</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二、增值税即征即退</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（一）一般纳税人提供管道运输服务，对其增值税实际税负超过3%的部分实行增值税即征即退政策。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经人民银行、银监会或者商务部批准从事融资租赁业务的试点纳税人中的一般纳税人，提供有形动产融资租赁服务和有形动产融资性售后回租服务，对其增值税实际税负超过3%的部分实行增值税即征即退政策。商务部授权的省级商务主管部门和国家经济技术开发区批准的从事融资租赁业务和融资性售后回租业务的试点纳税人中的一般纳税人，2016年5月1日后实收资本达到1.7亿元的，从达到标准的当月起按照上述规定执行；2016年5月1日后实收资本未达到1.7亿元但注册资本达到1.7亿元的，在2016年7月31日前仍可按照上述规定执行，2016年8月1日后开展的有形动产融资租赁业务和有形动产融资性售后回租业务不得按照上述规定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（三）本规定所称增值税实际税负，是指纳税人当期提供应税服务实际缴纳的增值税额占纳税人当期提供应税服务取得的全部价款和价外费用的比例。</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三、扣减增值税规定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（一）退役士兵创业就业。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对自主就业退役士兵从事个体经营的，在3年内按每户每年8000元为限额依次扣减其当年实际应缴纳的增值税、城市维护建设税、教育费附加、地方教育附加和个人所得税。限额标准最高可上浮20%，各省、自治区、直辖市人民政府可根据本地区实际情况在此幅度内确定具体限额标准，并报财政部和国家税务总局备案。</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年度应缴纳税款小于上述扣减限额的，以其实际缴纳的税款为限；大于上述扣减限额的，应以上述扣减限额为限。纳税人的实际经营期不足一年的，应当以实际月份换算其减免税限额。换算公式为：减免税限额=年度减免税限额÷12×实际经营月数。</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纳税人在享受税收优惠政策的当月，持《中国人民解放军义务兵退出现役证》或《中国人民解放军士官退出现役证》以及税务机关要求的相关材料向主管税务机关备案。</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对商贸企业、服务型企业、劳动就业服务企业中的加工型企业和街道社区具有加工性质的小型企业实体，在新增加的岗位中，当年新招用自主就业退役士兵，与其签订1年以上期限劳动合同并依法缴纳社会保险费的，在3年内按实际招用人数予以定额依次扣减增值税、城市维护建设税、教育费附加、地方教育附加和企业所得税优惠。定额标准为每人每年4000元，最高可上浮50%，各省、自治区、直辖市人民政府可根据本地区实际情况在此幅度内确定具体定额标准，并报财政部和国家税务总局备案。</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本条所称服务型企业是指从事《销售服务、无形资产、不动产注释》中“不动产租赁服务”、“商务辅助服务”（不含货物运输代理和代理报关服务）、“生活服务”（不含文化体育服务）范围内业务活动的企业以及按照《民办非企业单位登记管理暂行条例》（国务院令第251号）登记成立的民办非企业单位。</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和地方教育附加为限；实际应缴纳的增值税、城市维护建设税、教育费附加和地方教育附加大于核定减免税总额的，以核定减免税总额为限。</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纳税年度终了，如果企业实际减免的增值税、城市维护建设税、教育费附加和地方教育附加小于核定的减免税总额，企业在企业所得税汇算清缴时扣减企业所得税。当年扣减不足的，不再结转以后年度扣减。</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计算公式为：企业减免税总额=∑每名自主就业退役士兵本年度在本企业工作月份÷12×定额标准。</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企业自招用自主就业退役士兵的次月起享受税收优惠政策，并于享受税收优惠政策的当月，持下列材料向主管税务机关备案：</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（1）新招用自主就业退役士兵的《中国人民解放军义务兵退出现役证》或《中国人民解放军士官退出现役证》。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（2）企业与新招用自主就业退役士兵签订的劳动合同（副本），企业为职工缴纳的社会保险费记录。</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（3）自主就业退役士兵本年度在企业工作时间表。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（4）主管税务机关要求的其他相关材料。</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3.上述所称自主就业退役士兵是指依照《退役士兵安置条例》（国务院、中央军委令第608号）的规定退出现役并按自主就业方式安置的退役士兵。</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4.上述税收优惠政策的执行期限为2016年5月1日至2016年12月31日，纳税人在2016年12月31日未享受满3年的，可继续享受至3年期满为止。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按照《财政部 国家税务总局 民政部关于调整完善扶持自主就业退役士兵创业就业有关税收政策的通知》（财税〔2014〕42号）规定享受营业税优惠政策的纳税人，自2016年5月1日起按照上述规定享受增值税优惠政策，在2016年12月31日未享受满3年的，可继续享受至3年期满为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《财政部 国家税务总局关于将铁路运输和邮政业纳入营业税改征增值税试点的通知》（财税〔2013〕106号）附件3第一条第（十二）项城镇退役士兵就业免征增值税政策，自2014年7月1日起停止执行。在2014年6月30日未享受满3年的，可继续享受至3年期满为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（二）重点群体创业就业。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对持《就业创业证》（注明“自主创业税收政策”或“毕业年度内自主创业税收政策”）或2015年1月27日前取得的《就业失业登记证》（注明“自主创业税收政策”或附着《高校毕业生自主创业证》）的人员从事个体经营的，在3年内按每户每年8000元为限额依次扣减其当年实际应缴纳的增值税、城市维护建设税、教育费附加、地方教育附加和个人所得税。限额标准最高可上浮20%，各省、自治区、直辖市人民政府可根据本地区实际情况在此幅度内确定具体限额标准，并报财政部和国家税务总局备案。</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纳税人年度应缴纳税款小于上述扣减限额的，以其实际缴纳的税款为限；大于上述扣减限额的，应以上述扣减限额为限。</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上述人员是指：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（1）在人力资源社会保障部门公共就业服务机构登记失业半年以上的人员。</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（2）零就业家庭、享受城市居民最低生活保障家庭劳动年龄内的登记失业人员。</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（3）毕业年度内高校毕业生。高校毕业生是指实施高等学历教育的普通高等学校、成人高等学校毕业的学生；毕业年度是指毕业所在自然年，即1月1日至12月31日。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对商贸企业、服务型企业、劳动就业服务企业中的加工型企业和街道社区具有加工性质的小型企业实体，在新增加的岗位中，当年新招用在人力资源社会保障部门公共就业服务机构登记失业半年以上且持《就业创业证》或2015年1月27日前取得的《就业失业登记证》（注明“企业吸纳税收政策”）人员，与其签订1年以上期限劳动合同并依法缴纳社会保险费的，在3年内按实际招用人数予以定额依次扣减增值税、城市维护建设税、教育费附加、地方教育附加和企业所得税优惠。定额标准为每人每年4000元，最高可上浮30%，各省、自治区、直辖市人民政府可根据本地区实际情况在此幅度内确定具体定额标准，并报财政部和国家税务总局备案。</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按上述标准计算的税收扣减额应在企业当年实际应缴纳的增值税、城市维护建设税、教育费附加、地方教育附加和企业所得税税额中扣减，当年扣减不足的，不得结转下年使用。</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本条所称服务型企业是指从事《销售服务、无形资产、不动产注释》中“不动产租赁服务”、“商务辅助服务”（不含货物运输代理和代理报关服务）、“生活服务”（不含文化体育服务）范围内业务活动的企业以及按照《民办非企业单位登记管理暂行条例》（国务院令第251号）登记成立的民办非企业单位。</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3.享受上述优惠政策的人员按以下规定申领《就业创业证》：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按照《就业服务与就业管理规定》（劳动和社会保障部令第28号）第六十三条的规定，在法定劳动年龄内，有劳动能力，有就业要求，处于无业状态的城镇常住人员，在公共就业服务机构进行失业登记，申领《就业创业证》。其中，农村进城务工人员和其他非本地户籍人员在常住地稳定就业满6个月的，失业后可以在常住地登记。</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（2）零就业家庭凭社区出具的证明，城镇低保家庭凭低保证明，在公共就业服务机构登记失业，申领《就业创业证》。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上述人员申领相关凭证后，由就业和创业地人力资源社会保障部门对人员范围、就业失业状态、已享受政策情况进行核实，在《就业创业证》上注明“自主创业税收政策”、“毕业年度内自主创业税收政策”或“企业吸纳税收政策”字样，同时符合自主创业和企业吸纳税收政策条件的，可同时加注；主管税务机关在《就业创业证》上加盖戳记，注明减免税所属时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4.上述税收优惠政策的执行期限为2016年5月1日至2016年12月31日，纳税人在2016年12月31日未享受满3年的，可继续享受至3年期满为止。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按照《财政部 国家税务总局 人力资源社会保障部关于继续实施支持和促进重点群体创业就业有关税收政策的通知》（财税〔2014〕39号）规定享受营业税优惠政策的纳税人，自2016年5月1日起按照上述规定享受增值税优惠政策，在2016年12月31日未享受满3年的，可继续享受至3年期满为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《财政部 国家税务总局关于将铁路运输和邮政业纳入营业税改征增值税试点的通知》（财税〔2013〕106号）附件3第一条第（十三）项失业人员就业增值税优惠政策，自2014年1月1日起停止执行。在2013年12月31日未享受满3年的，可继续享受至3年期满为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四、金融企业发放贷款后，自结息日起90天内发生的应收未收利息按现行规定缴纳增值税，自结息日起90天后发生的应收未收利息暂不缴纳增值税，待实际收到利息时按规定缴纳增值税。</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上述所称金融企业，是指银行（包括国有、集体、股份制、合资、外资银行以及其他所有制形式的银行）、城市信用社、农村信用社、信托投资公司、财务公司。</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五、个人将购买不足2年的住房对外销售的，按照5%的征收率全额缴纳增值税；个人将购买2年以上（含2年）的住房对外销售的，免征增值税。上述政策适用于北京市、上海市、广州市和深圳市之外的地区。</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个人将购买不足2年的住房对外销售的，按照5%的征收率全额缴纳增值税；个人将购买2年以上（含2年）的非普通住房对外销售的，以销售收入减去购买住房价款后的差额按照5%的征收率缴纳增值税；个人将购买2年以上（含2年）的普通住房对外销售的，免征增值税。上述政策仅适用于北京市、上海市、广州市和深圳市。</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办理免税的具体程序、购买房屋的时间、开具发票、非购买形式取得住房行为及其他相关税收管理规定，按照《国务院办公厅转发建设部等部门关于做好稳定住房价格工作意见的通知》（国办发〔2005〕26号）、《国家税务总局 财政部 建设部关于加强房地产税收管理的通知》（国税发〔2005〕89号）和《国家税务总局关于房地产税收政策执行中几个具体问题的通知》（国税发〔2005〕172号）的有关规定执行。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上述增值税优惠政策除已规定期限的项目和第五条政策外，其他均在营改增试点期间执行。如果试点纳税人在纳入营改增试点之日前已经按照有关政策规定享受了营业税税收优惠，在剩余税收优惠政策期限内，按照本规定享受有关增值税优惠。</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2882" w:right="0" w:hanging="360"/>
        <w:rPr>
          <w:rFonts w:hint="eastAsia" w:ascii="宋体" w:hAnsi="宋体" w:eastAsia="宋体" w:cs="宋体"/>
          <w:color w:val="333333"/>
          <w:sz w:val="24"/>
          <w:szCs w:val="24"/>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634407">
    <w:nsid w:val="571EC567"/>
    <w:multiLevelType w:val="multilevel"/>
    <w:tmpl w:val="571EC567"/>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abstractNum w:abstractNumId="1461634430">
    <w:nsid w:val="571EC57E"/>
    <w:multiLevelType w:val="multilevel"/>
    <w:tmpl w:val="571EC57E"/>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461634407"/>
    <w:lvlOverride w:ilvl="0">
      <w:startOverride w:val="1"/>
    </w:lvlOverride>
  </w:num>
  <w:num w:numId="2">
    <w:abstractNumId w:val="14616344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3113A"/>
    <w:rsid w:val="393311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sz w:val="18"/>
      <w:szCs w:val="18"/>
      <w:u w:val="none"/>
      <w:bdr w:val="none" w:color="auto" w:sz="0" w:space="0"/>
    </w:rPr>
  </w:style>
  <w:style w:type="character" w:styleId="5">
    <w:name w:val="Hyperlink"/>
    <w:basedOn w:val="3"/>
    <w:uiPriority w:val="0"/>
    <w:rPr>
      <w:color w:val="333333"/>
      <w:sz w:val="18"/>
      <w:szCs w:val="18"/>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2016-04-26T01:26:00Z</dcterms:created>
  <dc:creator>Administrator</dc:creator>
  <cp:lastModifiedBy>Administrator</cp:lastModifiedBy>
  <dcterms:modified xsi:type="dcterms:W3CDTF">2016-04-26T01:27:19Z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