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750" w:lineRule="atLeast"/>
        <w:ind w:left="720" w:right="0" w:hanging="360"/>
        <w:jc w:val="center"/>
        <w:rPr>
          <w:rFonts w:ascii="微软雅黑" w:hAnsi="微软雅黑" w:eastAsia="微软雅黑" w:cs="微软雅黑"/>
          <w:color w:val="333333"/>
          <w:sz w:val="42"/>
          <w:szCs w:val="42"/>
        </w:rPr>
      </w:pPr>
      <w:r>
        <w:rPr>
          <w:rFonts w:hint="default" w:ascii="微软雅黑" w:hAnsi="微软雅黑" w:eastAsia="微软雅黑" w:cs="微软雅黑"/>
          <w:color w:val="333333"/>
          <w:sz w:val="42"/>
          <w:szCs w:val="42"/>
          <w:bdr w:val="none" w:color="auto" w:sz="0" w:space="0"/>
          <w:shd w:val="clear" w:fill="FFFFFF"/>
        </w:rPr>
        <w:t xml:space="preserve">跨境应税行为适用增值税零税率和免税政策的规定 </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0" w:right="0" w:hanging="360"/>
        <w:rPr>
          <w:rFonts w:hint="eastAsia" w:ascii="宋体" w:hAnsi="宋体" w:eastAsia="宋体" w:cs="宋体"/>
          <w:color w:val="333333"/>
          <w:sz w:val="24"/>
          <w:szCs w:val="24"/>
        </w:rPr>
      </w:pPr>
    </w:p>
    <w:p>
      <w:pPr>
        <w:pStyle w:val="2"/>
        <w:keepNext w:val="0"/>
        <w:keepLines w:val="0"/>
        <w:widowControl/>
        <w:suppressLineNumbers w:val="0"/>
        <w:spacing w:before="0" w:beforeAutospacing="0" w:after="0" w:afterAutospacing="0" w:line="540" w:lineRule="atLeast"/>
        <w:ind w:left="720" w:right="0"/>
      </w:pPr>
      <w:r>
        <w:rPr>
          <w:rFonts w:hint="eastAsia" w:ascii="宋体" w:hAnsi="宋体" w:eastAsia="宋体" w:cs="宋体"/>
          <w:color w:val="333333"/>
          <w:sz w:val="24"/>
          <w:szCs w:val="24"/>
          <w:shd w:val="clear" w:fill="FFFFFF"/>
        </w:rPr>
        <w:t>一、中华人民共和国境内（以下称境内）的单位和个人销售的下列服务和无形资产，适用增值税零税率：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（一）国际运输服务。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国际运输服务，是指：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1.在境内载运旅客或者货物出境。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2.在境外载运旅客或者货物入境。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3.在境外载运旅客或者货物。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（二）航天运输服务。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（三）向境外单位提供的完全在境外消费的下列服务：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1.研发服务。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2.合同能源管理服务。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3.设计服务。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4.广播影视节目(作品)的制作和发行服务。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5.软件服务。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6.电路设计及测试服务。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7.信息系统服务。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8.业务流程管理服务。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9.离岸服务外包业务。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离岸服务外包业务，包括信息技术外包服务（ITO）、技术性业务流程外包服务（BPO）、技术性知识流程外包服务（KPO），其所涉及的具体业务活动，按照《销售服务、无形资产、不动产注释》相对应的业务活动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10.转让技术。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（四）财政部和国家税务总局规定的其他服务。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二、境内的单位和个人销售的下列服务和无形资产免征增值税，但财政部和国家税务总局规定适用增值税零税率的除外：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（一）下列服务：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1.工程项目在境外的建筑服务。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2.工程项目在境外的工程监理服务。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3.工程、矿产资源在境外的工程勘察勘探服务。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4.会议展览地点在境外的会议展览服务。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5.存储地点在境外的仓储服务。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6.标的物在境外使用的有形动产租赁服务。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7.在境外提供的广播影视节目(作品)的播映服务。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8.在境外提供的文化体育服务、教育医疗服务、旅游服务。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（二）为出口货物提供的邮政服务、收派服务、保险服务。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为出口货物提供的保险服务，包括出口货物保险和出口信用保险。</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（三）向境外单位提供的完全在境外消费的下列服务和无形资产：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1.电信服务。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2.知识产权服务。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3.物流辅助服务（仓储服务、收派服务除外）。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4.鉴证咨询服务。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5.专业技术服务。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6.商务辅助服务。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7.广告投放地在境外的广告服务。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8.无形资产。</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（四）以无运输工具承运方式提供的国际运输服务。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（五）为境外单位之间的货币资金融通及其他金融业务提供的直接收费金融服务，且该服务与境内的货物、无形资产和不动产无关。</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（六）财政部和国家税务总局规定的其他服务。</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三、按照国家有关规定应取得相关资质的国际运输服务项目，纳税人取得相关资质的，适用增值税零税率政策，未取得的，适用增值税免税政策。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境内的单位或个人提供程租服务，如果租赁的交通工具用于国际运输服务和港澳台运输服务，由出租方按规定申请适用增值税零税率。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境内的单位和个人向境内单位或个人提供期租、湿租服务，如果承租方利用租赁的交通工具向其他单位或个人提供国际运输服务和港澳台运输服务，由承租方适用增值税零税率。境内的单位或个人向境外单位或个人提供期租、湿租服务，由出租方适用增值税零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境内单位和个人以无运输工具承运方式提供的国际运输服务，由境内实际承运人适用增值税零税率；无运输工具承运业务的经营者适用增值税免税政策。</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境内的单位和个人提供适用增值税零税率的服务或者无形资产，如果属于适用简易计税方法的，实行免征增值税办法。如果属于适用增值税一般计税方法的，生产企业实行免抵退税办法，外贸企业外购服务或者无形资产出口实行免退税办法，外贸企业直接将服务或自行研发的无形资产出口，视同生产企业连同其出口货物统一实行免抵退税办法。</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服务和无形资产的退税率为其按照《试点实施办法》第十五条第（一）至（三）项规定适用的增值税税率。实行退（免）税办法的服务和无形资产，如果主管税务机关认定出口价格偏高的，有权按照核定的出口价格计算退（免）税，核定的出口价格低于外贸企业购进价格的，低于部分对应的进项税额不予退税，转入成本。</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五、境内的单位和个人销售适用增值税零税率的服务或无形资产的，可以放弃适用增值税零税率，选择免税或按规定缴纳增值税。放弃适用增值税零税率后，36个月内不得再申请适用增值税零税率。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六、境内的单位和个人销售适用增值税零税率的服务或无形资产，按月向主管退税的税务机关申报办理增值税退（免）税手续。具体管理办法由国家税务总局商财政部另行制定。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七、本规定所称完全在境外消费，是指：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（一）服务的实际接受方在境外，且与境内的货物和不动产无关。</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（二）无形资产完全在境外使用，且与境内的货物和不动产无关。</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（三）财政部和国家税务总局规定的其他情形。</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八、境内单位和个人发生的与香港、澳门、台湾有关的应税行为，除本文另有规定外，参照上述规定执行。</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九、2016年4月30日前签订的合同，符合《财政部 国家税务总局关于将铁路运输和邮政业纳入营业税改征增值税试点的通知》（财税〔2013〕106号）附件4和《财政部 国家税务总局关于影视等出口服务适用增值税零税率政策的通知》（财税〔2015〕118号）规定的零税率或者免税政策条件的，在合同到期前可以继续享受零税率或者免税政策。</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40" w:lineRule="atLeast"/>
        <w:ind w:left="1440" w:right="0" w:hanging="360"/>
        <w:rPr>
          <w:rFonts w:hint="eastAsia" w:ascii="宋体" w:hAnsi="宋体" w:eastAsia="宋体" w:cs="宋体"/>
          <w:color w:val="333333"/>
          <w:sz w:val="24"/>
          <w:szCs w:val="24"/>
        </w:r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altName w:val="黑体"/>
    <w:panose1 w:val="00000000000000000000"/>
    <w:charset w:val="00"/>
    <w:family w:val="auto"/>
    <w:pitch w:val="default"/>
    <w:sig w:usb0="00000000" w:usb1="00000000" w:usb2="00000000" w:usb3="00000000" w:csb0="00000000" w:csb1="00000000"/>
  </w:font>
  <w:font w:name="黑体">
    <w:panose1 w:val="02010600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634584">
    <w:nsid w:val="571EC618"/>
    <w:multiLevelType w:val="multilevel"/>
    <w:tmpl w:val="571EC618"/>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abstractNum w:abstractNumId="1461634603">
    <w:nsid w:val="571EC62B"/>
    <w:multiLevelType w:val="multilevel"/>
    <w:tmpl w:val="571EC62B"/>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461634584"/>
    <w:lvlOverride w:ilvl="0">
      <w:startOverride w:val="1"/>
    </w:lvlOverride>
  </w:num>
  <w:num w:numId="2">
    <w:abstractNumId w:val="146163460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15ED"/>
    <w:rsid w:val="091215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33333"/>
      <w:sz w:val="18"/>
      <w:szCs w:val="18"/>
      <w:u w:val="none"/>
      <w:bdr w:val="none" w:color="auto" w:sz="0" w:space="0"/>
    </w:rPr>
  </w:style>
  <w:style w:type="character" w:styleId="5">
    <w:name w:val="Hyperlink"/>
    <w:basedOn w:val="3"/>
    <w:uiPriority w:val="0"/>
    <w:rPr>
      <w:color w:val="333333"/>
      <w:sz w:val="18"/>
      <w:szCs w:val="18"/>
      <w:u w:val="none"/>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2016-04-26T01:27:00Z</dcterms:created>
  <dc:creator>Administrator</dc:creator>
  <cp:lastModifiedBy>Administrator</cp:lastModifiedBy>
  <dcterms:modified xsi:type="dcterms:W3CDTF">2016-04-26T01:28:02Z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